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учетной работы и распределение ее объема осуществляет директор </w:t>
      </w:r>
      <w:r w:rsidRPr="003D476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Централизованной бухгалтерии,</w:t>
      </w:r>
      <w:r w:rsidRPr="003D476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</w:t>
      </w:r>
      <w:r w:rsidRPr="003D476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главный бухгалтер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22435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 Учреждение публикует основные положения учетной политики на своем официальном сайте.</w:t>
      </w:r>
    </w:p>
    <w:p w:rsidR="00D22435" w:rsidRDefault="003D476B" w:rsidP="004B2A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0"/>
          <w:lang w:eastAsia="ru-RU"/>
        </w:rPr>
        <w:t>1.4. При внесении изменений в учетную политику главный бухгалтер оценивает в целях сопоставления отчетности существенность изменения показателей, отражающих финансовое положение, финансовые результаты деятельности учреждения и движение его денежных средств на основе своего профессионального суждения. Также на основе профессионального суждения оценивается существенность ошибок отчетного периода, выявленных после утверждения отчетности, в целях принятия решения о раскрытии в Пояснениях к отчетности информации о существенных ошибках.</w:t>
      </w:r>
    </w:p>
    <w:p w:rsidR="003D476B" w:rsidRPr="003D476B" w:rsidRDefault="003D476B" w:rsidP="004B2A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Бухгалтерский учет в учреждении ведется с применением </w:t>
      </w:r>
      <w:hyperlink r:id="rId5" w:history="1">
        <w:r w:rsidRPr="003D47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Единого плана счетов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</w:t>
      </w:r>
      <w:hyperlink r:id="rId6" w:history="1">
        <w:r w:rsidRPr="003D47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Минфина России от 01.12.2010 N 157н, </w:t>
      </w:r>
      <w:r w:rsidRPr="003D47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Плана счетов бухгалтерского учета бюджетных учреждений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разработанного на </w:t>
      </w:r>
      <w:r w:rsidR="00D22435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основе Рабочего плана счетов.</w:t>
      </w:r>
    </w:p>
    <w:p w:rsidR="003D476B" w:rsidRPr="003D476B" w:rsidRDefault="003D476B" w:rsidP="004B2A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отражении в бухучете хозяйственных операций 1–18 разряды номера счета Рабочего плана счетов формируются следующим образом: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4"/>
        <w:gridCol w:w="7535"/>
      </w:tblGrid>
      <w:tr w:rsidR="003D476B" w:rsidRPr="003D476B" w:rsidTr="008640C9">
        <w:tc>
          <w:tcPr>
            <w:tcW w:w="1668" w:type="dxa"/>
            <w:vAlign w:val="center"/>
          </w:tcPr>
          <w:p w:rsidR="003D476B" w:rsidRPr="003D476B" w:rsidRDefault="003D476B" w:rsidP="004B2A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Разряд номера счета</w:t>
            </w:r>
          </w:p>
        </w:tc>
        <w:tc>
          <w:tcPr>
            <w:tcW w:w="7687" w:type="dxa"/>
            <w:vAlign w:val="center"/>
          </w:tcPr>
          <w:p w:rsidR="003D476B" w:rsidRPr="003D476B" w:rsidRDefault="003D476B" w:rsidP="004B2A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</w:tr>
      <w:tr w:rsidR="003D476B" w:rsidRPr="003D476B" w:rsidTr="008640C9">
        <w:tc>
          <w:tcPr>
            <w:tcW w:w="1668" w:type="dxa"/>
            <w:vAlign w:val="center"/>
          </w:tcPr>
          <w:p w:rsidR="003D476B" w:rsidRPr="003D476B" w:rsidRDefault="003D476B" w:rsidP="004B2A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1–4</w:t>
            </w:r>
          </w:p>
        </w:tc>
        <w:tc>
          <w:tcPr>
            <w:tcW w:w="7687" w:type="dxa"/>
          </w:tcPr>
          <w:p w:rsidR="003D476B" w:rsidRPr="003D476B" w:rsidRDefault="003D476B" w:rsidP="004B2A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4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Аналитический код вида услуги (раздел, подраздел КБК)</w:t>
            </w:r>
          </w:p>
        </w:tc>
      </w:tr>
      <w:tr w:rsidR="003D476B" w:rsidRPr="003D476B" w:rsidTr="008640C9">
        <w:tc>
          <w:tcPr>
            <w:tcW w:w="1668" w:type="dxa"/>
          </w:tcPr>
          <w:p w:rsidR="003D476B" w:rsidRPr="003D476B" w:rsidRDefault="003D476B" w:rsidP="004B2A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5–14</w:t>
            </w:r>
          </w:p>
        </w:tc>
        <w:tc>
          <w:tcPr>
            <w:tcW w:w="7687" w:type="dxa"/>
          </w:tcPr>
          <w:p w:rsidR="003D476B" w:rsidRPr="003D476B" w:rsidRDefault="003D476B" w:rsidP="004B2A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</w:tr>
      <w:tr w:rsidR="003D476B" w:rsidRPr="003D476B" w:rsidTr="008640C9">
        <w:tc>
          <w:tcPr>
            <w:tcW w:w="1668" w:type="dxa"/>
          </w:tcPr>
          <w:p w:rsidR="003D476B" w:rsidRPr="003D476B" w:rsidRDefault="003D476B" w:rsidP="004B2A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15–17</w:t>
            </w:r>
          </w:p>
        </w:tc>
        <w:tc>
          <w:tcPr>
            <w:tcW w:w="7687" w:type="dxa"/>
          </w:tcPr>
          <w:p w:rsidR="003D476B" w:rsidRPr="003D476B" w:rsidRDefault="003D476B" w:rsidP="004B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Код вида поступлений или выбытий, соответствующий</w:t>
            </w:r>
            <w:r w:rsidRPr="003D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D476B" w:rsidRPr="003D476B" w:rsidRDefault="003D476B" w:rsidP="004B2AF5">
            <w:pPr>
              <w:widowControl w:val="0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аналитической группе подвида доходов бюджетов;</w:t>
            </w:r>
          </w:p>
          <w:p w:rsidR="003D476B" w:rsidRPr="003D476B" w:rsidRDefault="003D476B" w:rsidP="004B2AF5">
            <w:pPr>
              <w:widowControl w:val="0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коду вида расходов;</w:t>
            </w:r>
          </w:p>
          <w:p w:rsidR="003D476B" w:rsidRPr="003D476B" w:rsidRDefault="003D476B" w:rsidP="004B2AF5">
            <w:pPr>
              <w:widowControl w:val="0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аналитической группе вида источников финансирования дефицитов бюджетов</w:t>
            </w:r>
          </w:p>
        </w:tc>
      </w:tr>
      <w:tr w:rsidR="003D476B" w:rsidRPr="003D476B" w:rsidTr="008640C9">
        <w:tc>
          <w:tcPr>
            <w:tcW w:w="1668" w:type="dxa"/>
          </w:tcPr>
          <w:p w:rsidR="003D476B" w:rsidRPr="003D476B" w:rsidRDefault="003D476B" w:rsidP="004B2A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87" w:type="dxa"/>
          </w:tcPr>
          <w:p w:rsidR="003D476B" w:rsidRPr="003D476B" w:rsidRDefault="003D476B" w:rsidP="004B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4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Код вида финансового обеспечения (деятельности)</w:t>
            </w:r>
          </w:p>
          <w:p w:rsidR="003D476B" w:rsidRPr="003D476B" w:rsidRDefault="003D476B" w:rsidP="004B2AF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приносящая доход деятельность (собственные доходы учреждения);</w:t>
            </w:r>
          </w:p>
          <w:p w:rsidR="003D476B" w:rsidRPr="003D476B" w:rsidRDefault="003D476B" w:rsidP="004B2AF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средства во временном распоряжении;</w:t>
            </w:r>
          </w:p>
          <w:p w:rsidR="003D476B" w:rsidRPr="003D476B" w:rsidRDefault="003D476B" w:rsidP="004B2AF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субсидия на выполнение муниципального задания;</w:t>
            </w:r>
          </w:p>
          <w:p w:rsidR="003D476B" w:rsidRPr="003D476B" w:rsidRDefault="003D476B" w:rsidP="004B2AF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субсидии на иные цели;</w:t>
            </w:r>
          </w:p>
          <w:p w:rsidR="003D476B" w:rsidRPr="003D476B" w:rsidRDefault="003D476B" w:rsidP="004B2AF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– субсидии на цели осуществления капитальных вложения</w:t>
            </w:r>
          </w:p>
        </w:tc>
      </w:tr>
    </w:tbl>
    <w:p w:rsidR="003D476B" w:rsidRPr="003D476B" w:rsidRDefault="003D476B" w:rsidP="004B2A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1.6. Для отражения реальной задолженности и проведения сверок с контрагентами по договорам операционной и финансовой аренды аналитический учет обеспечивается путем открытия отдельного субконто на счете 0 205 00 000 (0 302 00 000).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Обособленный учет процентных доходов и расходов, условных арендных платежей обеспечивается на дополнительных аналитических счетах (субконто) к счету 0 40100</w:t>
      </w:r>
      <w:r w:rsidR="004B2A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4B2A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В счетах расчетов </w:t>
      </w:r>
      <w:r w:rsidRPr="003D476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по доходам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1-4 разряды номера счета формируются следующим образом: 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счете 0 205 00 000 коды разделов и подразделов определяются исходя из выполняемых работ или оказываемых услуг, указанных в базовых (отраслевых) перечнях;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 в счетах 2 205 20 000, 2 205 30 000, 2 20930 000 в части доходов от арендных платежей, а также доходы от компенсации затрат (расходов) по оплате коммунальных услуг относятся к подразделу 0113 "Другие общегосударственные вопросы"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 в счете 2 209 00 000 в части расчетов по возвратам авансов по расторгнутым контрактам указывается подраздел, по которому учтены произведенные авансовые платежи.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счетах расчетов </w:t>
      </w:r>
      <w:r w:rsidRPr="003D476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по расходам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2 206 00 000, 2 208 00 000, 2 209 30 000, 2 302 00 000, 2 303 00 000, 2 304 02 000, 2 304 03 000 в 1-4 разряде указывается подраздел, по которому отражены доходы по соответствующей услуге или работе.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Общехозяйственные расходы, относящие к платной деятельности, учитываются по подразделу </w:t>
      </w:r>
      <w:r w:rsidRPr="003D476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по основному виду деятельности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1.9. В целях ведения бухгалтерского учета применяются: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7" w:history="1">
        <w:r w:rsidRPr="003D47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унифицированные формы первичных учетных документов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" w:history="1">
        <w:r w:rsidRPr="003D47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регистров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бухгалтерского учета, включенные в перечни, утвержденные </w:t>
      </w:r>
      <w:hyperlink r:id="rId9" w:history="1">
        <w:r w:rsidRPr="003D47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52н;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формы, утвержденные непосредственно данным приказом.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Операции, для которых не предусмотрено составление унифицированных форм первичных документов или форм первичных документов, разработанных организацией, оформляются Бухгалтерской справкой (</w:t>
      </w:r>
      <w:hyperlink r:id="rId10" w:history="1">
        <w:r w:rsidRPr="003D47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ф. 0504833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При необходимости к Бухгалтерской справке (</w:t>
      </w:r>
      <w:hyperlink r:id="rId11" w:history="1">
        <w:r w:rsidRPr="003D47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ф. 0504833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прилагаются расчет и (или) оформленное в установленном порядке "</w:t>
      </w:r>
      <w:hyperlink r:id="rId12" w:history="1">
        <w:r w:rsidRPr="003D47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Профессиональное суждение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Подобным образом оформляются в том числе операции по изменению стоимостных оценок объектов учета, при досрочном расторжении договоров пользования, </w:t>
      </w:r>
      <w:proofErr w:type="spellStart"/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реклассификации</w:t>
      </w:r>
      <w:proofErr w:type="spellEnd"/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учета.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 Предоставить право подписи первичных учетных документов на бумажных носителях должностным лицам согласно </w:t>
      </w:r>
      <w:hyperlink w:anchor="sub_1000" w:history="1">
        <w:r w:rsidRPr="006279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 2.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1.11. Обработку первичных учетных документов, формирование регистров бухгалтерского учета, а также отражение фактов хозяйственной жизни по соответствующим счетам Рабочего плана счетов осуществлять с применением следующих программных продуктов: «1С: Бухгалтерия государственного учреждения», «Талисман». Первичные учетные документы и (или) регистры бухгалтерского учета оформляются</w:t>
      </w:r>
      <w:r w:rsidRPr="003D476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 на бумажных носителях и в виде электронного документа с использованием электронной подписи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учетных документов и (или) регистров бухгалтерского учета на бумажных носителях осуществляется: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- вручную;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- с помощью компьютерной техники;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- смешанным способом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Регистры бухгалтерского учета, оформляемые на бумажных носителях, распечатываются не позднее </w:t>
      </w:r>
      <w:r w:rsidRPr="003D476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20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месяца, следующего за отчетным периодом.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учетных данных в Журналы операций, а также нумерация Журналов операций осуществляется согласно Приложению N 3.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Резервное копирование баз данных, учетной информации, включая регистры учета (в том числе при применении "облачных" технологий), осуществляется ежедневно. Архивирование учетной информации производится </w:t>
      </w:r>
      <w:r w:rsidRPr="003D476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ежегодно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Хранение резервных и архивных копий осуществляется </w:t>
      </w:r>
      <w:r w:rsidRPr="003D476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на</w:t>
      </w:r>
      <w:r w:rsidRPr="003D476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</w:t>
      </w:r>
      <w:r w:rsidRPr="003D476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оптических и магнитных носителях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Ответственным за обеспечение своевременного резервирования и безопасного хранения баз данных является </w:t>
      </w:r>
      <w:r w:rsidRPr="003D476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системный администратор Централизованной бухгалтерии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предоставляемые (получаемые) в (от) орган казначейства (финансовый орган), осуществляющий ведение лицевых счетов, в электронном виде с применением квалифицированной электронной подписи, хранятся в информационных системах, в которых был осуществлен электронный обмен.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1.12. При обнаружении в выходных формах документов ошибок осуществляется анализ (диагностика) ошибочных данных, их исправление и получение выходных форм документов с учетом исправлений.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соответствующего документального оформления исправления в электронных базах данных не допускаются.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588675029"/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1.13. Порядок и сроки передачи первичных учетных документов для отражения в бухгалтерском учете устанавливаются в соответств</w:t>
      </w:r>
      <w:r w:rsidR="006279D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с Графиком документооборота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0"/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Первичные учетные документы, поступившие в учреждение более поздней датой, чем дата их выставления, и по которым не создавался соответствующий резерв 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предстоящих расходов, фиксируются в реестре сдачи документов для осуществления бухгалтерского учета по форме, утвержденной приложением N 20 к учетной политике и отражаются в учете в следующем порядке: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при поступлении документов более поздней датой в этом же месяце или  в начале месяца, следующего за </w:t>
      </w:r>
      <w:proofErr w:type="gramStart"/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 10 числа) факт хозяйственной жизни отражается в учете</w:t>
      </w:r>
      <w:r w:rsidRPr="003D476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 </w:t>
      </w:r>
      <w:r w:rsidRPr="003D476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датой документа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2) при поступлении документов в следующем месяце после 10 числа факты хозяйственной жизни отражаются в учете датой поступления документов.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Первичные учетные документы систематизируются по датам совершения операций (в хронологическом порядке). 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проверенных и принятых к учету первичных учетных документов отражаются в регистрах бухгалтерского учета накопительным способом.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регистрах в хронологическом порядке систематизируются первичные (сводные)    учетные документы по датам совершения операций, дате принятия к учету первичного документа.</w:t>
      </w:r>
    </w:p>
    <w:p w:rsidR="003D476B" w:rsidRPr="003D476B" w:rsidRDefault="001F6813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3D476B" w:rsidRPr="003D47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Регистры</w:t>
        </w:r>
      </w:hyperlink>
      <w:r w:rsidR="003D476B"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бухгалтерского учета формируются в виде книг, журналов, карточек на бумажных носителях, на машинном носителе в виде электронного документа (регистра), содержащего электронную подпись (далее - электронный регистр).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1.14. Формирование электронных регистров бухучета осуществляется в следующем порядке: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 журнал регистрации приходных и расходных ордеров составляется ежемесячно, в последний рабочий день месяца;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инвентарная карточка учета основных средств оформляется при принятии объекта к учету, по мере внесения изменений (данных о переоценке, модернизации, реконструкции, консервации и пр.) и при выбытии. При отсутствии указанных событий – ежегодно, на последний рабочий день года, со сведениями о начисленной амортизации;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инвентарная карточка группового учета основных средств оформляется при принятии объектов к учету, по мере внесения изменений (данных о переоценке, модернизации, реконструкции, консервации и пр.) и при выбытии;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опись инвентарных карточек по учету основных средств, инвентарный список основных средств, реестр карточек заполняются ежегодно, в последний день года;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карточка количественно-суммового учета материальных ценностей заполняются ежегодно;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книга учета бланков строгой отчетности заполняются ежемесячно, в последний день месяца;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главная книга заполняются ежемесячно;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другие регистры, не указанные выше, заполняются по мере необходимости, если иное не установлено законодательством РФ.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1.15. Формирование регистров бухгалтерского учета на бумажных носителях осуществляется в соответствии с приложением № 5.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истечении каждого отчетного периода (месяца, квартала, года) первичные учетные документы, сформированные на бумажном носителе, относящиеся к соответствующим Журналам операций, подобранные и систематизированные в порядке, указанном выше, </w:t>
      </w:r>
      <w:proofErr w:type="spellStart"/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сброшюровываются</w:t>
      </w:r>
      <w:proofErr w:type="spellEnd"/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папку (дело). На обложке папки (дела) указывается: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наименование организации (структурного подразделения);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название и порядковый номер папки (дела);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период (дата), за который сформирован регистр бухгалтерского учета (Журнал операций), с указанием года и месяца (числа);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наименование регистра бухгалтерского учета (Журнала операций), с указанием при наличии его номера;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 количество листов в папке (деле);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 срок хранения.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незначительном количестве документов в течение нескольких месяцев одного финансового года допускается их подшивка в одну папку (дело). Документы в папку подбираются с учетом сроков их хранения.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хранения первичных (сводных) учетных документов, регистров бухгалтерского учета и бухгалтерской (финансовой) отчетности устанавливается в соответствии с </w:t>
      </w:r>
      <w:hyperlink r:id="rId14" w:history="1">
        <w:r w:rsidRPr="003D47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хранения, комплектования, учета и использования документов Архивного фонда РФ и других архивных документов в органах </w:t>
      </w:r>
      <w:proofErr w:type="spellStart"/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госвласти</w:t>
      </w:r>
      <w:proofErr w:type="spellEnd"/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местного самоуправления и организациях, утв. </w:t>
      </w:r>
      <w:hyperlink r:id="rId15" w:history="1">
        <w:r w:rsidRPr="003D47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Минкультуры России от 31.03.2015 N 526.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хранения указанных документов определяются согласно </w:t>
      </w:r>
      <w:hyperlink r:id="rId16" w:history="1">
        <w:r w:rsidRPr="003D47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4.1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утв. </w:t>
      </w:r>
      <w:hyperlink r:id="rId17" w:history="1">
        <w:r w:rsidRPr="003D47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Минкультуры России от 25.08.2010 N 558, но не менее 5 лет.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1.16. Ошибки текущего (отчетного) года, обнаруженные до представления отчетности и требующие внесения изменений в регистры бухгалтерского учета (Журналы операций), отражаются в учете последним днем отчетного периода.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 прошлых лет учитываются в учете обособлено в целях раскрытия информации в отчетности в установленном порядке.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1.17. Персональный состав комиссий, создаваемых в учреждении, ответственные должностные лица определяются</w:t>
      </w:r>
      <w:r w:rsidRPr="003D476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 </w:t>
      </w:r>
      <w:r w:rsidRPr="003D476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отдельными приказами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14"/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1.18. Инвентаризацию имущества и обязательств (в т. ч. числящихся на </w:t>
      </w:r>
      <w:proofErr w:type="spellStart"/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забалансовых</w:t>
      </w:r>
      <w:proofErr w:type="spellEnd"/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счетах), а также финансовых результатов (в т. ч. расходов будущих периодов и резервов) проводит инвентаризационная комиссия. Инвентаризации проводятся согласно Положению об инвентаризации.</w:t>
      </w:r>
    </w:p>
    <w:bookmarkEnd w:id="1"/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соответствия объектов имущества понятию "Актив" проводиться: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 в рамках годовой инвентаризации, проводимой в целях составления годовой отчетности;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 проведении инвентаризации по любым основаниям;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 в течение года - по мере необходимости.</w:t>
      </w:r>
    </w:p>
    <w:p w:rsidR="003D476B" w:rsidRPr="004B2AF5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1.19. Учреждение применяет корреспонденции счетов бухгалтерского учета в части, не предусмотренной </w:t>
      </w:r>
      <w:hyperlink r:id="rId18" w:history="1">
        <w:r w:rsidRPr="004B2A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Инструкцией</w:t>
        </w:r>
      </w:hyperlink>
      <w:r w:rsidRPr="004B2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B2A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N 174н</w:t>
      </w:r>
      <w:r w:rsidRPr="004B2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w:anchor="sub_1000" w:history="1">
        <w:r w:rsidRPr="004B2A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 7. Перечень корреспонденций согласован с </w:t>
      </w:r>
      <w:r w:rsidRPr="004B2A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главным распорядителем бюджетных средств.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1.20. События после отчетной даты отражаются в учете и отчетности в соответствии с </w:t>
      </w:r>
      <w:hyperlink w:anchor="sub_1000" w:history="1">
        <w:r w:rsidRPr="004B2A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Приложением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 8 к учетной политике.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1.21. Внутренний контроль в учреждении осуществляется согласно Положению о внутреннем контроле</w:t>
      </w:r>
      <w:r w:rsidR="004B2A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19"/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1.22. Критерии существенности информации в учете и отчетности устанавливаются для целей</w:t>
      </w:r>
      <w:r w:rsidRPr="003D476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:</w:t>
      </w:r>
    </w:p>
    <w:bookmarkEnd w:id="2"/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- признания ошибки;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- отражения информации о событиях после отчетной даты.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1.22.1. Существенной признается ошибка, составляющая </w:t>
      </w:r>
      <w:r w:rsidRPr="003D476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7 процентов</w:t>
      </w:r>
      <w:r w:rsidRPr="003D476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общей суммы </w:t>
      </w:r>
      <w:r w:rsidRPr="003D476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соответствующей строки бухгалтерской отчетности</w:t>
      </w:r>
      <w:r w:rsidRPr="003D476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1.22.2. Событие после отчетной даты (факт хозяйственной жизни) признается существенным, если без знания о нем пользователями отчетности невозможна достоверная оценка финансового состояния, движения денежных средств или результатов деятельности учреждения.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Существенность события после отчетной даты определяется исходя из величины и характера соответствующей статьи (статей) бухгалтерской отчетности в каждом конкретном случае на основании письменного обоснования такого решения.</w:t>
      </w:r>
    </w:p>
    <w:p w:rsidR="003D476B" w:rsidRPr="003D476B" w:rsidRDefault="003D476B" w:rsidP="004B2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highlight w:val="yellow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1.23. Особенности применения первичных документов:</w:t>
      </w:r>
    </w:p>
    <w:p w:rsidR="00BD486A" w:rsidRPr="00BD486A" w:rsidRDefault="003D476B" w:rsidP="003102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208"/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1.23.1. Поступление нефинансовых активов при их приобретении (безвозмездном получении) оформляется Актом о приеме-передаче объектов нефинансовых активов </w:t>
      </w:r>
      <w:bookmarkEnd w:id="3"/>
    </w:p>
    <w:p w:rsidR="00BD486A" w:rsidRDefault="00BD486A"/>
    <w:sectPr w:rsidR="00BD486A" w:rsidSect="003B4F8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6107D"/>
    <w:multiLevelType w:val="hybridMultilevel"/>
    <w:tmpl w:val="7DC2F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7C1315"/>
    <w:multiLevelType w:val="hybridMultilevel"/>
    <w:tmpl w:val="8A766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86A"/>
    <w:rsid w:val="001F6813"/>
    <w:rsid w:val="00236087"/>
    <w:rsid w:val="00243B97"/>
    <w:rsid w:val="002839BF"/>
    <w:rsid w:val="002C6EAD"/>
    <w:rsid w:val="003102D9"/>
    <w:rsid w:val="003811CF"/>
    <w:rsid w:val="003B4F86"/>
    <w:rsid w:val="003D476B"/>
    <w:rsid w:val="0046382A"/>
    <w:rsid w:val="004B2AF5"/>
    <w:rsid w:val="00556935"/>
    <w:rsid w:val="005A4883"/>
    <w:rsid w:val="006279D4"/>
    <w:rsid w:val="00652349"/>
    <w:rsid w:val="006F0252"/>
    <w:rsid w:val="007D0C97"/>
    <w:rsid w:val="009947F3"/>
    <w:rsid w:val="00A27D2C"/>
    <w:rsid w:val="00AA489E"/>
    <w:rsid w:val="00BD486A"/>
    <w:rsid w:val="00D22435"/>
    <w:rsid w:val="00DC5D30"/>
    <w:rsid w:val="00E03C1F"/>
    <w:rsid w:val="00F85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E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8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851956.3000" TargetMode="External"/><Relationship Id="rId13" Type="http://schemas.openxmlformats.org/officeDocument/2006/relationships/hyperlink" Target="garantF1://70851956.3000" TargetMode="External"/><Relationship Id="rId18" Type="http://schemas.openxmlformats.org/officeDocument/2006/relationships/hyperlink" Target="garantF1://12081735.2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851956.1000" TargetMode="External"/><Relationship Id="rId12" Type="http://schemas.openxmlformats.org/officeDocument/2006/relationships/hyperlink" Target="garantF1://55630290.0" TargetMode="External"/><Relationship Id="rId17" Type="http://schemas.openxmlformats.org/officeDocument/2006/relationships/hyperlink" Target="garantF1://99315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99315.14004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12080849.0" TargetMode="External"/><Relationship Id="rId11" Type="http://schemas.openxmlformats.org/officeDocument/2006/relationships/hyperlink" Target="garantF1://70851956.2320" TargetMode="External"/><Relationship Id="rId5" Type="http://schemas.openxmlformats.org/officeDocument/2006/relationships/hyperlink" Target="garantF1://12080849.1000" TargetMode="External"/><Relationship Id="rId15" Type="http://schemas.openxmlformats.org/officeDocument/2006/relationships/hyperlink" Target="garantF1://71083090.0" TargetMode="External"/><Relationship Id="rId10" Type="http://schemas.openxmlformats.org/officeDocument/2006/relationships/hyperlink" Target="garantF1://70851956.232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851956.0" TargetMode="External"/><Relationship Id="rId14" Type="http://schemas.openxmlformats.org/officeDocument/2006/relationships/hyperlink" Target="garantF1://71083090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1995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KolesnikovaNV</dc:creator>
  <cp:keywords/>
  <dc:description/>
  <cp:lastModifiedBy>ПК</cp:lastModifiedBy>
  <cp:revision>12</cp:revision>
  <cp:lastPrinted>2019-04-04T07:11:00Z</cp:lastPrinted>
  <dcterms:created xsi:type="dcterms:W3CDTF">2019-03-29T08:03:00Z</dcterms:created>
  <dcterms:modified xsi:type="dcterms:W3CDTF">2019-04-04T11:06:00Z</dcterms:modified>
</cp:coreProperties>
</file>